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14B5" w:rsidR="007014B5" w:rsidP="007014B5" w:rsidRDefault="007014B5" w14:paraId="27A806C8" w14:textId="77777777">
      <w:pPr>
        <w:spacing w:after="80" w:line="240" w:lineRule="auto"/>
        <w:rPr>
          <w:rFonts w:ascii="Calibri" w:hAnsi="Calibri" w:eastAsia="Times New Roman" w:cs="Calibri"/>
          <w:b/>
          <w:bCs/>
          <w:color w:val="365F92"/>
          <w:lang w:val="en-US"/>
        </w:rPr>
      </w:pPr>
      <w:r w:rsidRPr="007014B5">
        <w:rPr>
          <w:rFonts w:ascii="Calibri" w:hAnsi="Calibri" w:eastAsia="Times New Roman"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rsidRPr="007014B5" w:rsidR="007014B5" w:rsidP="007014B5" w:rsidRDefault="007014B5" w14:paraId="7418E239" w14:textId="77777777">
      <w:pPr>
        <w:spacing w:after="0" w:line="240" w:lineRule="auto"/>
        <w:contextualSpacing/>
        <w:jc w:val="center"/>
        <w:rPr>
          <w:rFonts w:ascii="Calibri" w:hAnsi="Calibri" w:eastAsia="Times New Roman" w:cs="Times New Roman"/>
          <w:b/>
          <w:bCs/>
          <w:color w:val="365F92"/>
          <w:spacing w:val="-10"/>
          <w:sz w:val="56"/>
          <w:szCs w:val="56"/>
          <w:lang w:val="en-US"/>
        </w:rPr>
      </w:pPr>
      <w:r w:rsidRPr="007014B5">
        <w:rPr>
          <w:rFonts w:ascii="Calibri" w:hAnsi="Calibri" w:eastAsia="Times New Roman" w:cs="Times New Roman"/>
          <w:b/>
          <w:bCs/>
          <w:color w:val="365F92"/>
          <w:spacing w:val="-10"/>
          <w:sz w:val="56"/>
          <w:szCs w:val="56"/>
          <w:lang w:val="en-US"/>
        </w:rPr>
        <w:t>PROJECT SNAPSHOT</w:t>
      </w:r>
    </w:p>
    <w:p w:rsidRPr="007014B5" w:rsidR="007014B5" w:rsidP="001C3DB1" w:rsidRDefault="001C3DB1" w14:paraId="79AB8E0E" w14:textId="0F81DB7F">
      <w:pPr>
        <w:spacing w:after="80" w:line="240" w:lineRule="auto"/>
        <w:jc w:val="center"/>
        <w:rPr>
          <w:rFonts w:ascii="Calibri" w:hAnsi="Calibri" w:eastAsia="Times New Roman" w:cs="Calibri"/>
          <w:b/>
          <w:bCs/>
          <w:color w:val="48C7EC"/>
          <w:sz w:val="32"/>
          <w:szCs w:val="32"/>
        </w:rPr>
      </w:pPr>
      <w:sdt>
        <w:sdtPr>
          <w:rPr>
            <w:rFonts w:ascii="Calibri" w:hAnsi="Calibri" w:eastAsia="Times New Roman" w:cs="Calibri"/>
            <w:b/>
            <w:bCs/>
            <w:color w:val="1B99D6"/>
            <w:sz w:val="40"/>
            <w:szCs w:val="40"/>
          </w:rPr>
          <w:alias w:val="Title"/>
          <w:tag w:val=""/>
          <w:id w:val="-227068707"/>
          <w:placeholder>
            <w:docPart w:val="6D7D7E4CA9F5674B909837CB7FE58DA6"/>
          </w:placeholder>
          <w:dataBinding w:prefixMappings="xmlns:ns0='http://purl.org/dc/elements/1.1/' xmlns:ns1='http://schemas.openxmlformats.org/package/2006/metadata/core-properties' " w:xpath="/ns1:coreProperties[1]/ns0:title[1]" w:storeItemID="{6C3C8BC8-F283-45AE-878A-BAB7291924A1}"/>
          <w:text/>
        </w:sdtPr>
        <w:sdtContent>
          <w:r w:rsidRPr="001C3DB1">
            <w:rPr>
              <w:rFonts w:ascii="Calibri" w:hAnsi="Calibri" w:eastAsia="Times New Roman" w:cs="Calibri"/>
              <w:b/>
              <w:bCs/>
              <w:color w:val="1B99D6"/>
              <w:sz w:val="40"/>
              <w:szCs w:val="40"/>
            </w:rPr>
            <w:t xml:space="preserve">Modernizing transfer credit policy, </w:t>
          </w:r>
          <w:proofErr w:type="gramStart"/>
          <w:r w:rsidRPr="001C3DB1">
            <w:rPr>
              <w:rFonts w:ascii="Calibri" w:hAnsi="Calibri" w:eastAsia="Times New Roman" w:cs="Calibri"/>
              <w:b/>
              <w:bCs/>
              <w:color w:val="1B99D6"/>
              <w:sz w:val="40"/>
              <w:szCs w:val="40"/>
            </w:rPr>
            <w:t>guidelines</w:t>
          </w:r>
          <w:proofErr w:type="gramEnd"/>
          <w:r w:rsidRPr="001C3DB1">
            <w:rPr>
              <w:rFonts w:ascii="Calibri" w:hAnsi="Calibri" w:eastAsia="Times New Roman" w:cs="Calibri"/>
              <w:b/>
              <w:bCs/>
              <w:color w:val="1B99D6"/>
              <w:sz w:val="40"/>
              <w:szCs w:val="40"/>
            </w:rPr>
            <w:t xml:space="preserve"> and procedures</w:t>
          </w:r>
          <w:r>
            <w:rPr>
              <w:rFonts w:ascii="Calibri" w:hAnsi="Calibri" w:eastAsia="Times New Roman" w:cs="Calibri"/>
              <w:b/>
              <w:bCs/>
              <w:color w:val="1B99D6"/>
              <w:sz w:val="40"/>
              <w:szCs w:val="40"/>
            </w:rPr>
            <w:t xml:space="preserve"> </w:t>
          </w:r>
          <w:r w:rsidRPr="001C3DB1">
            <w:rPr>
              <w:rFonts w:ascii="Calibri" w:hAnsi="Calibri" w:eastAsia="Times New Roman" w:cs="Calibri"/>
              <w:b/>
              <w:bCs/>
              <w:color w:val="1B99D6"/>
              <w:sz w:val="40"/>
              <w:szCs w:val="40"/>
            </w:rPr>
            <w:t>at Ryerson</w:t>
          </w:r>
        </w:sdtContent>
      </w:sdt>
    </w:p>
    <w:p w:rsidRPr="007014B5" w:rsidR="007014B5" w:rsidP="007014B5" w:rsidRDefault="007014B5" w14:paraId="457597E9" w14:textId="77777777">
      <w:pPr>
        <w:spacing w:after="0" w:line="240" w:lineRule="auto"/>
        <w:textAlignment w:val="baseline"/>
        <w:rPr>
          <w:rFonts w:ascii="Segoe UI" w:hAnsi="Segoe UI" w:eastAsia="Times New Roman" w:cs="Segoe UI"/>
          <w:sz w:val="18"/>
          <w:szCs w:val="18"/>
          <w:lang w:eastAsia="en-CA"/>
        </w:rPr>
      </w:pPr>
    </w:p>
    <w:p w:rsidR="00693730" w:rsidP="007014B5" w:rsidRDefault="00693730" w14:paraId="5C8E77DA" w14:textId="21A2A22D">
      <w:pPr>
        <w:spacing w:after="0" w:line="240" w:lineRule="auto"/>
        <w:textAlignment w:val="baseline"/>
        <w:rPr>
          <w:rFonts w:ascii="Arial" w:hAnsi="Arial" w:eastAsia="Times New Roman" w:cs="Arial"/>
          <w:b/>
          <w:bCs/>
          <w:color w:val="365F92"/>
          <w:lang w:val="en-US" w:eastAsia="en-CA"/>
        </w:rPr>
      </w:pPr>
      <w:r>
        <w:rPr>
          <w:rFonts w:ascii="Arial" w:hAnsi="Arial" w:eastAsia="Times New Roman" w:cs="Arial"/>
          <w:b/>
          <w:bCs/>
          <w:color w:val="365F92"/>
          <w:lang w:val="en-US" w:eastAsia="en-CA"/>
        </w:rPr>
        <w:t xml:space="preserve">Type: </w:t>
      </w:r>
      <w:r w:rsidR="00540A60">
        <w:rPr>
          <w:rFonts w:ascii="Arial" w:hAnsi="Arial" w:eastAsia="Times New Roman" w:cs="Arial"/>
          <w:lang w:val="en-US" w:eastAsia="en-CA"/>
        </w:rPr>
        <w:t>Seamless Transfer</w:t>
      </w:r>
    </w:p>
    <w:p w:rsidR="00693730" w:rsidP="007014B5" w:rsidRDefault="00693730" w14:paraId="6E0AB716" w14:textId="56138493">
      <w:pPr>
        <w:spacing w:after="0" w:line="240" w:lineRule="auto"/>
        <w:textAlignment w:val="baseline"/>
        <w:rPr>
          <w:rFonts w:ascii="Arial" w:hAnsi="Arial" w:eastAsia="Times New Roman" w:cs="Arial"/>
          <w:b/>
          <w:bCs/>
          <w:color w:val="365F92"/>
          <w:lang w:val="en-US" w:eastAsia="en-CA"/>
        </w:rPr>
      </w:pPr>
      <w:r>
        <w:rPr>
          <w:rFonts w:ascii="Arial" w:hAnsi="Arial" w:eastAsia="Times New Roman" w:cs="Arial"/>
          <w:b/>
          <w:bCs/>
          <w:color w:val="365F92"/>
          <w:lang w:val="en-US" w:eastAsia="en-CA"/>
        </w:rPr>
        <w:t xml:space="preserve">Project Number: </w:t>
      </w:r>
      <w:r w:rsidRPr="00540A60" w:rsidR="00540A60">
        <w:rPr>
          <w:rFonts w:ascii="Arial" w:hAnsi="Arial" w:eastAsia="Times New Roman" w:cs="Arial"/>
          <w:lang w:val="en-US" w:eastAsia="en-CA"/>
        </w:rPr>
        <w:t xml:space="preserve">2020-38 or </w:t>
      </w:r>
      <w:r w:rsidR="00540A60">
        <w:rPr>
          <w:rFonts w:ascii="Arial" w:hAnsi="Arial" w:eastAsia="Times New Roman" w:cs="Arial"/>
          <w:lang w:val="en-US" w:eastAsia="en-CA"/>
        </w:rPr>
        <w:t>S2038</w:t>
      </w:r>
    </w:p>
    <w:p w:rsidRPr="007014B5" w:rsidR="007014B5" w:rsidP="007014B5" w:rsidRDefault="007014B5" w14:paraId="4B51A3FB" w14:textId="3B37350E">
      <w:pPr>
        <w:spacing w:after="0" w:line="240" w:lineRule="auto"/>
        <w:textAlignment w:val="baseline"/>
        <w:rPr>
          <w:rFonts w:ascii="Segoe UI" w:hAnsi="Segoe UI" w:eastAsia="Times New Roman" w:cs="Segoe UI"/>
          <w:sz w:val="18"/>
          <w:szCs w:val="18"/>
          <w:lang w:eastAsia="en-CA"/>
        </w:rPr>
      </w:pPr>
      <w:r w:rsidRPr="007014B5">
        <w:rPr>
          <w:rFonts w:ascii="Arial" w:hAnsi="Arial" w:eastAsia="Times New Roman" w:cs="Arial"/>
          <w:b/>
          <w:bCs/>
          <w:color w:val="365F92"/>
          <w:lang w:val="en-US" w:eastAsia="en-CA"/>
        </w:rPr>
        <w:t>Project Lead:</w:t>
      </w:r>
      <w:bookmarkStart w:name="_Hlk89785965" w:id="0"/>
      <w:r w:rsidR="00540A60">
        <w:rPr>
          <w:rFonts w:ascii="Arial" w:hAnsi="Arial" w:eastAsia="Times New Roman" w:cs="Arial"/>
          <w:b/>
          <w:bCs/>
          <w:color w:val="365F92"/>
          <w:lang w:val="en-US" w:eastAsia="en-CA"/>
        </w:rPr>
        <w:t xml:space="preserve"> </w:t>
      </w:r>
      <w:r w:rsidRPr="00540A60" w:rsidR="00540A60">
        <w:rPr>
          <w:rFonts w:ascii="Arial" w:hAnsi="Arial" w:eastAsia="Times New Roman" w:cs="Arial"/>
          <w:lang w:val="en-US" w:eastAsia="en-CA"/>
        </w:rPr>
        <w:t>Toronto Metropolitan University</w:t>
      </w:r>
      <w:r w:rsidRPr="007014B5">
        <w:rPr>
          <w:rFonts w:ascii="Arial" w:hAnsi="Arial" w:eastAsia="Times New Roman" w:cs="Arial"/>
          <w:lang w:val="en-US" w:eastAsia="en-CA"/>
        </w:rPr>
        <w:t xml:space="preserve"> </w:t>
      </w:r>
      <w:bookmarkEnd w:id="0"/>
    </w:p>
    <w:p w:rsidRPr="0003336C" w:rsidR="0003336C" w:rsidP="0003336C" w:rsidRDefault="0003336C" w14:paraId="41D15EFD" w14:textId="77777777">
      <w:pPr>
        <w:keepNext/>
        <w:keepLines/>
        <w:spacing w:after="0" w:line="240" w:lineRule="auto"/>
        <w:outlineLvl w:val="0"/>
        <w:rPr>
          <w:rFonts w:ascii="Calibri" w:hAnsi="Calibri" w:eastAsia="Times New Roman" w:cs="Times New Roman"/>
          <w:b/>
          <w:bCs/>
          <w:color w:val="365F92"/>
        </w:rPr>
      </w:pPr>
    </w:p>
    <w:p w:rsidRPr="007014B5" w:rsidR="007014B5" w:rsidP="0003336C" w:rsidRDefault="007014B5" w14:paraId="7DAE22AB" w14:textId="018E0E90">
      <w:pPr>
        <w:keepNext/>
        <w:keepLines/>
        <w:spacing w:after="0" w:line="240" w:lineRule="auto"/>
        <w:outlineLvl w:val="0"/>
        <w:rPr>
          <w:rFonts w:ascii="Calibri" w:hAnsi="Calibri" w:eastAsia="Times New Roman" w:cs="Times New Roman"/>
          <w:b/>
          <w:bCs/>
          <w:color w:val="365F92"/>
          <w:sz w:val="32"/>
          <w:szCs w:val="32"/>
        </w:rPr>
      </w:pPr>
      <w:r w:rsidRPr="007014B5">
        <w:rPr>
          <w:rFonts w:ascii="Calibri" w:hAnsi="Calibri" w:eastAsia="Times New Roman" w:cs="Times New Roman"/>
          <w:b/>
          <w:bCs/>
          <w:color w:val="365F92"/>
          <w:sz w:val="32"/>
          <w:szCs w:val="32"/>
        </w:rPr>
        <w:t>Project Summary</w:t>
      </w:r>
    </w:p>
    <w:p w:rsidRPr="0063761E" w:rsidR="0063761E" w:rsidP="0003336C" w:rsidRDefault="0063761E" w14:paraId="226155B3" w14:textId="77777777">
      <w:pPr>
        <w:widowControl w:val="0"/>
        <w:autoSpaceDE w:val="0"/>
        <w:autoSpaceDN w:val="0"/>
        <w:spacing w:after="0" w:line="240" w:lineRule="auto"/>
        <w:ind w:right="463"/>
        <w:jc w:val="both"/>
        <w:rPr>
          <w:rFonts w:ascii="Arial" w:hAnsi="Arial" w:eastAsia="Times New Roman" w:cs="Arial"/>
          <w:lang w:val="en-US" w:eastAsia="en-CA"/>
        </w:rPr>
      </w:pPr>
      <w:r w:rsidRPr="0063761E">
        <w:rPr>
          <w:rFonts w:ascii="Arial" w:hAnsi="Arial" w:eastAsia="Times New Roman" w:cs="Arial"/>
          <w:lang w:val="en-US" w:eastAsia="en-CA"/>
        </w:rPr>
        <w:t xml:space="preserve">Recent updates to Ryerson’s undergraduate program structure are based on three broad categories of study - core courses, open </w:t>
      </w:r>
      <w:proofErr w:type="gramStart"/>
      <w:r w:rsidRPr="0063761E">
        <w:rPr>
          <w:rFonts w:ascii="Arial" w:hAnsi="Arial" w:eastAsia="Times New Roman" w:cs="Arial"/>
          <w:lang w:val="en-US" w:eastAsia="en-CA"/>
        </w:rPr>
        <w:t>electives</w:t>
      </w:r>
      <w:proofErr w:type="gramEnd"/>
      <w:r w:rsidRPr="0063761E">
        <w:rPr>
          <w:rFonts w:ascii="Arial" w:hAnsi="Arial" w:eastAsia="Times New Roman" w:cs="Arial"/>
          <w:lang w:val="en-US" w:eastAsia="en-CA"/>
        </w:rPr>
        <w:t xml:space="preserve"> and liberal studies. The open </w:t>
      </w:r>
      <w:proofErr w:type="gramStart"/>
      <w:r w:rsidRPr="0063761E">
        <w:rPr>
          <w:rFonts w:ascii="Arial" w:hAnsi="Arial" w:eastAsia="Times New Roman" w:cs="Arial"/>
          <w:lang w:val="en-US" w:eastAsia="en-CA"/>
        </w:rPr>
        <w:t>electives in particular, provide</w:t>
      </w:r>
      <w:proofErr w:type="gramEnd"/>
      <w:r w:rsidRPr="0063761E">
        <w:rPr>
          <w:rFonts w:ascii="Arial" w:hAnsi="Arial" w:eastAsia="Times New Roman" w:cs="Arial"/>
          <w:lang w:val="en-US" w:eastAsia="en-CA"/>
        </w:rPr>
        <w:t xml:space="preserve"> students with the opportunity to choose degree-level courses outside of their core curriculum to gain greater depth and breadth in areas of interest. Open electives also allow students to earn a Minor.</w:t>
      </w:r>
    </w:p>
    <w:p w:rsidRPr="0063761E" w:rsidR="0063761E" w:rsidP="0003336C" w:rsidRDefault="0063761E" w14:paraId="0B21719F" w14:textId="77777777">
      <w:pPr>
        <w:widowControl w:val="0"/>
        <w:autoSpaceDE w:val="0"/>
        <w:autoSpaceDN w:val="0"/>
        <w:spacing w:after="0" w:line="240" w:lineRule="auto"/>
        <w:rPr>
          <w:rFonts w:ascii="Arial" w:hAnsi="Arial" w:eastAsia="Times New Roman" w:cs="Arial"/>
          <w:lang w:val="en-US" w:eastAsia="en-CA"/>
        </w:rPr>
      </w:pPr>
    </w:p>
    <w:p w:rsidRPr="0063761E" w:rsidR="0063761E" w:rsidP="0003336C" w:rsidRDefault="0063761E" w14:paraId="1D10A014" w14:textId="77777777">
      <w:pPr>
        <w:widowControl w:val="0"/>
        <w:autoSpaceDE w:val="0"/>
        <w:autoSpaceDN w:val="0"/>
        <w:spacing w:after="0" w:line="240" w:lineRule="auto"/>
        <w:ind w:right="121"/>
        <w:rPr>
          <w:rFonts w:ascii="Arial" w:hAnsi="Arial" w:eastAsia="Times New Roman" w:cs="Arial"/>
          <w:lang w:val="en-US" w:eastAsia="en-CA"/>
        </w:rPr>
      </w:pPr>
      <w:r w:rsidRPr="0063761E">
        <w:rPr>
          <w:rFonts w:ascii="Arial" w:hAnsi="Arial" w:eastAsia="Times New Roman" w:cs="Arial"/>
          <w:lang w:val="en-US" w:eastAsia="en-CA"/>
        </w:rPr>
        <w:t xml:space="preserve">The implementation of open electives provides students with greater choice as they include all degree- level courses offered at Ryerson (with a few exceptions). As a result of this initiative, there is now opportunity to consider a wider range of eligible </w:t>
      </w:r>
      <w:proofErr w:type="spellStart"/>
      <w:r w:rsidRPr="0063761E">
        <w:rPr>
          <w:rFonts w:ascii="Arial" w:hAnsi="Arial" w:eastAsia="Times New Roman" w:cs="Arial"/>
          <w:lang w:val="en-US" w:eastAsia="en-CA"/>
        </w:rPr>
        <w:t>post secondary</w:t>
      </w:r>
      <w:proofErr w:type="spellEnd"/>
      <w:r w:rsidRPr="0063761E">
        <w:rPr>
          <w:rFonts w:ascii="Arial" w:hAnsi="Arial" w:eastAsia="Times New Roman" w:cs="Arial"/>
          <w:lang w:val="en-US" w:eastAsia="en-CA"/>
        </w:rPr>
        <w:t xml:space="preserve"> courses as equivalent transfer credits.</w:t>
      </w:r>
    </w:p>
    <w:p w:rsidRPr="0063761E" w:rsidR="0063761E" w:rsidP="0003336C" w:rsidRDefault="0063761E" w14:paraId="21D9E567" w14:textId="77777777">
      <w:pPr>
        <w:widowControl w:val="0"/>
        <w:autoSpaceDE w:val="0"/>
        <w:autoSpaceDN w:val="0"/>
        <w:spacing w:after="0" w:line="240" w:lineRule="auto"/>
        <w:rPr>
          <w:rFonts w:ascii="Arial" w:hAnsi="Arial" w:eastAsia="Times New Roman" w:cs="Arial"/>
          <w:lang w:val="en-US" w:eastAsia="en-CA"/>
        </w:rPr>
      </w:pPr>
    </w:p>
    <w:p w:rsidRPr="0063761E" w:rsidR="0063761E" w:rsidP="0003336C" w:rsidRDefault="0063761E" w14:paraId="3F42547E" w14:textId="77777777">
      <w:pPr>
        <w:widowControl w:val="0"/>
        <w:autoSpaceDE w:val="0"/>
        <w:autoSpaceDN w:val="0"/>
        <w:spacing w:after="0" w:line="240" w:lineRule="auto"/>
        <w:rPr>
          <w:rFonts w:ascii="Arial" w:hAnsi="Arial" w:eastAsia="Times New Roman" w:cs="Arial"/>
          <w:lang w:val="en-US" w:eastAsia="en-CA"/>
        </w:rPr>
      </w:pPr>
      <w:r w:rsidRPr="0063761E">
        <w:rPr>
          <w:rFonts w:ascii="Arial" w:hAnsi="Arial" w:eastAsia="Times New Roman" w:cs="Arial"/>
          <w:lang w:val="en-US" w:eastAsia="en-CA"/>
        </w:rPr>
        <w:t>If approved, this project will help transform overall transfer credit policies and procedures at Ryerson through the development of faculty assessment guidelines for course-to-course transfer. This project will modernize our transfer credit processes and provide a more seamless experience for students by maximizing credit transfer through the recognition of all eligible degree-level courses from other institutions.</w:t>
      </w:r>
    </w:p>
    <w:p w:rsidRPr="0063761E" w:rsidR="0063761E" w:rsidP="0003336C" w:rsidRDefault="0063761E" w14:paraId="602548C5" w14:textId="77777777">
      <w:pPr>
        <w:widowControl w:val="0"/>
        <w:autoSpaceDE w:val="0"/>
        <w:autoSpaceDN w:val="0"/>
        <w:spacing w:after="0" w:line="240" w:lineRule="auto"/>
        <w:rPr>
          <w:rFonts w:ascii="Cambria" w:hAnsi="Calibri" w:eastAsia="Calibri" w:cs="Calibri"/>
          <w:lang w:val="en-US"/>
        </w:rPr>
      </w:pPr>
    </w:p>
    <w:p w:rsidRPr="0063761E" w:rsidR="0063761E" w:rsidP="0003336C" w:rsidRDefault="0063761E" w14:paraId="11658A8E" w14:textId="4EB9EF0D">
      <w:pPr>
        <w:widowControl w:val="0"/>
        <w:autoSpaceDE w:val="0"/>
        <w:autoSpaceDN w:val="0"/>
        <w:spacing w:after="0" w:line="240" w:lineRule="auto"/>
        <w:outlineLvl w:val="2"/>
        <w:rPr>
          <w:rFonts w:ascii="Calibri" w:hAnsi="Calibri" w:eastAsia="Times New Roman" w:cs="Times New Roman"/>
          <w:b/>
          <w:bCs/>
          <w:color w:val="365F92"/>
          <w:sz w:val="32"/>
          <w:szCs w:val="32"/>
        </w:rPr>
      </w:pPr>
      <w:r w:rsidRPr="0063761E">
        <w:rPr>
          <w:rFonts w:ascii="Calibri" w:hAnsi="Calibri" w:eastAsia="Times New Roman" w:cs="Times New Roman"/>
          <w:b/>
          <w:bCs/>
          <w:color w:val="365F92"/>
          <w:sz w:val="32"/>
          <w:szCs w:val="32"/>
        </w:rPr>
        <w:t xml:space="preserve">Project </w:t>
      </w:r>
      <w:proofErr w:type="spellStart"/>
      <w:r w:rsidRPr="0063761E">
        <w:rPr>
          <w:rFonts w:ascii="Calibri" w:hAnsi="Calibri" w:eastAsia="Times New Roman" w:cs="Times New Roman"/>
          <w:b/>
          <w:bCs/>
          <w:color w:val="365F92"/>
          <w:sz w:val="32"/>
          <w:szCs w:val="32"/>
        </w:rPr>
        <w:t>Rationale</w:t>
      </w:r>
      <w:proofErr w:type="spellEnd"/>
    </w:p>
    <w:p w:rsidRPr="0063761E" w:rsidR="0063761E" w:rsidP="0003336C" w:rsidRDefault="0063761E" w14:paraId="042F493A" w14:textId="4F50038F">
      <w:pPr>
        <w:widowControl w:val="0"/>
        <w:autoSpaceDE w:val="0"/>
        <w:autoSpaceDN w:val="0"/>
        <w:spacing w:after="0" w:line="240" w:lineRule="auto"/>
        <w:ind w:right="178"/>
        <w:rPr>
          <w:rFonts w:ascii="Arial" w:hAnsi="Arial" w:eastAsia="Times New Roman" w:cs="Arial"/>
          <w:lang w:val="en-US" w:eastAsia="en-CA"/>
        </w:rPr>
      </w:pPr>
      <w:r w:rsidRPr="5D7F9FFF" w:rsidR="0063761E">
        <w:rPr>
          <w:rFonts w:ascii="Arial" w:hAnsi="Arial" w:eastAsia="Times New Roman" w:cs="Arial"/>
          <w:lang w:val="en-US" w:eastAsia="en-CA"/>
        </w:rPr>
        <w:t>Prior to the implementation of open electives, students at Ryerson had comparatively little</w:t>
      </w:r>
      <w:r w:rsidRPr="5D7F9FFF" w:rsidR="42A9F8D6">
        <w:rPr>
          <w:rFonts w:ascii="Arial" w:hAnsi="Arial" w:eastAsia="Times New Roman" w:cs="Arial"/>
          <w:lang w:val="en-US" w:eastAsia="en-CA"/>
        </w:rPr>
        <w:t xml:space="preserve"> </w:t>
      </w:r>
      <w:r w:rsidRPr="5D7F9FFF" w:rsidR="0063761E">
        <w:rPr>
          <w:rFonts w:ascii="Arial" w:hAnsi="Arial" w:eastAsia="Times New Roman" w:cs="Arial"/>
          <w:lang w:val="en-US" w:eastAsia="en-CA"/>
        </w:rPr>
        <w:t xml:space="preserve">choices for selecting elective courses. Limited options for selecting elective courses didn’t allow for maximum credit transfer from eligible degree-level courses from other institutions. For example, under the previous structure, a general design course completed at another Ontario university wasn’t considered as an elective credit in our Public Health and Safety </w:t>
      </w:r>
      <w:r w:rsidRPr="5D7F9FFF" w:rsidR="0063761E">
        <w:rPr>
          <w:rFonts w:ascii="Arial" w:hAnsi="Arial" w:eastAsia="Times New Roman" w:cs="Arial"/>
          <w:lang w:val="en-US" w:eastAsia="en-CA"/>
        </w:rPr>
        <w:t>degree program. With the introduction of open electives, this course may be considered towards the elective requirement and therefore may be counted toward the completion of the degree. Exposure to different areas of interest allows for student growth and development and is fitting within Ryerson’s emerging program options (</w:t>
      </w:r>
      <w:proofErr w:type="gramStart"/>
      <w:r w:rsidRPr="5D7F9FFF" w:rsidR="0063761E">
        <w:rPr>
          <w:rFonts w:ascii="Arial" w:hAnsi="Arial" w:eastAsia="Times New Roman" w:cs="Arial"/>
          <w:lang w:val="en-US" w:eastAsia="en-CA"/>
        </w:rPr>
        <w:t>e.g.</w:t>
      </w:r>
      <w:proofErr w:type="gramEnd"/>
      <w:r w:rsidRPr="5D7F9FFF" w:rsidR="0063761E">
        <w:rPr>
          <w:rFonts w:ascii="Arial" w:hAnsi="Arial" w:eastAsia="Times New Roman" w:cs="Arial"/>
          <w:lang w:val="en-US" w:eastAsia="en-CA"/>
        </w:rPr>
        <w:t xml:space="preserve"> zone learning). We expect this change to impact a significant number of transfer credit assessment decisions positively and optimize transfer credit opportunities for students.</w:t>
      </w:r>
    </w:p>
    <w:p w:rsidRPr="0063761E" w:rsidR="0063761E" w:rsidP="0003336C" w:rsidRDefault="0063761E" w14:paraId="4A7D9817" w14:textId="77777777">
      <w:pPr>
        <w:widowControl w:val="0"/>
        <w:autoSpaceDE w:val="0"/>
        <w:autoSpaceDN w:val="0"/>
        <w:spacing w:after="0" w:line="240" w:lineRule="auto"/>
        <w:rPr>
          <w:rFonts w:ascii="Cambria" w:hAnsi="Calibri" w:eastAsia="Calibri" w:cs="Calibri"/>
          <w:lang w:val="en-US"/>
        </w:rPr>
      </w:pPr>
    </w:p>
    <w:p w:rsidRPr="007334F5" w:rsidR="00FA030B" w:rsidP="0003336C" w:rsidRDefault="0063761E" w14:paraId="4B232C5B" w14:textId="77777777">
      <w:pPr>
        <w:widowControl w:val="0"/>
        <w:autoSpaceDE w:val="0"/>
        <w:autoSpaceDN w:val="0"/>
        <w:spacing w:after="0" w:line="240" w:lineRule="auto"/>
        <w:outlineLvl w:val="2"/>
        <w:rPr>
          <w:rFonts w:ascii="Calibri" w:hAnsi="Calibri" w:eastAsia="Times New Roman" w:cs="Times New Roman"/>
          <w:b/>
          <w:bCs/>
          <w:color w:val="365F92"/>
          <w:sz w:val="32"/>
          <w:szCs w:val="32"/>
        </w:rPr>
      </w:pPr>
      <w:r w:rsidRPr="0063761E">
        <w:rPr>
          <w:rFonts w:ascii="Calibri" w:hAnsi="Calibri" w:eastAsia="Times New Roman" w:cs="Times New Roman"/>
          <w:b/>
          <w:bCs/>
          <w:color w:val="365F92"/>
          <w:sz w:val="32"/>
          <w:szCs w:val="32"/>
        </w:rPr>
        <w:t>Results</w:t>
      </w:r>
    </w:p>
    <w:p w:rsidRPr="0063761E" w:rsidR="0063761E" w:rsidP="0003336C" w:rsidRDefault="0063761E" w14:paraId="350D5FBD" w14:textId="3730185B">
      <w:pPr>
        <w:widowControl w:val="0"/>
        <w:autoSpaceDE w:val="0"/>
        <w:autoSpaceDN w:val="0"/>
        <w:spacing w:after="0" w:line="240" w:lineRule="auto"/>
        <w:outlineLvl w:val="2"/>
        <w:rPr>
          <w:rFonts w:ascii="Arial" w:hAnsi="Arial" w:eastAsia="Times New Roman" w:cs="Arial"/>
          <w:lang w:val="en-US" w:eastAsia="en-CA"/>
        </w:rPr>
      </w:pPr>
      <w:r w:rsidRPr="0063761E">
        <w:rPr>
          <w:rFonts w:ascii="Arial" w:hAnsi="Arial" w:eastAsia="Times New Roman" w:cs="Arial"/>
          <w:lang w:val="en-US" w:eastAsia="en-CA"/>
        </w:rPr>
        <w:t xml:space="preserve">An updated transfer credit procedure that acknowledges a broad range of eligible </w:t>
      </w:r>
      <w:proofErr w:type="spellStart"/>
      <w:r w:rsidRPr="0063761E">
        <w:rPr>
          <w:rFonts w:ascii="Arial" w:hAnsi="Arial" w:eastAsia="Times New Roman" w:cs="Arial"/>
          <w:lang w:val="en-US" w:eastAsia="en-CA"/>
        </w:rPr>
        <w:t>post secondary</w:t>
      </w:r>
      <w:proofErr w:type="spellEnd"/>
      <w:r w:rsidRPr="0063761E">
        <w:rPr>
          <w:rFonts w:ascii="Arial" w:hAnsi="Arial" w:eastAsia="Times New Roman" w:cs="Arial"/>
          <w:lang w:val="en-US" w:eastAsia="en-CA"/>
        </w:rPr>
        <w:t xml:space="preserve"> courses as transfer credits counting towards open elective requirements.</w:t>
      </w:r>
    </w:p>
    <w:p w:rsidRPr="0063761E" w:rsidR="0063761E" w:rsidP="0003336C" w:rsidRDefault="0063761E" w14:paraId="5D1E950C" w14:textId="77777777">
      <w:pPr>
        <w:widowControl w:val="0"/>
        <w:numPr>
          <w:ilvl w:val="0"/>
          <w:numId w:val="1"/>
        </w:numPr>
        <w:tabs>
          <w:tab w:val="left" w:pos="660"/>
        </w:tabs>
        <w:autoSpaceDE w:val="0"/>
        <w:autoSpaceDN w:val="0"/>
        <w:spacing w:after="0" w:line="240" w:lineRule="auto"/>
        <w:ind w:left="659"/>
        <w:rPr>
          <w:rFonts w:ascii="Arial" w:hAnsi="Arial" w:eastAsia="Times New Roman" w:cs="Arial"/>
          <w:lang w:val="en-US" w:eastAsia="en-CA"/>
        </w:rPr>
      </w:pPr>
      <w:r w:rsidRPr="0063761E">
        <w:rPr>
          <w:rFonts w:ascii="Arial" w:hAnsi="Arial" w:eastAsia="Times New Roman" w:cs="Arial"/>
          <w:lang w:val="en-US" w:eastAsia="en-CA"/>
        </w:rPr>
        <w:t>Streamlined sub-procedures that support the proposed updates</w:t>
      </w:r>
    </w:p>
    <w:p w:rsidRPr="0063761E" w:rsidR="0063761E" w:rsidP="0003336C" w:rsidRDefault="0063761E" w14:paraId="7948E0D2" w14:textId="77777777">
      <w:pPr>
        <w:widowControl w:val="0"/>
        <w:numPr>
          <w:ilvl w:val="0"/>
          <w:numId w:val="1"/>
        </w:numPr>
        <w:tabs>
          <w:tab w:val="left" w:pos="660"/>
        </w:tabs>
        <w:autoSpaceDE w:val="0"/>
        <w:autoSpaceDN w:val="0"/>
        <w:spacing w:after="0" w:line="240" w:lineRule="auto"/>
        <w:ind w:left="659"/>
        <w:rPr>
          <w:rFonts w:ascii="Arial" w:hAnsi="Arial" w:eastAsia="Times New Roman" w:cs="Arial"/>
          <w:lang w:val="en-US" w:eastAsia="en-CA"/>
        </w:rPr>
      </w:pPr>
      <w:r w:rsidRPr="0063761E">
        <w:rPr>
          <w:rFonts w:ascii="Arial" w:hAnsi="Arial" w:eastAsia="Times New Roman" w:cs="Arial"/>
          <w:lang w:val="en-US" w:eastAsia="en-CA"/>
        </w:rPr>
        <w:t>Development of institution-wide faculty assessment guidelines</w:t>
      </w:r>
    </w:p>
    <w:p w:rsidRPr="0063761E" w:rsidR="0063761E" w:rsidP="0003336C" w:rsidRDefault="0063761E" w14:paraId="7BE5D4F7" w14:textId="77777777">
      <w:pPr>
        <w:widowControl w:val="0"/>
        <w:autoSpaceDE w:val="0"/>
        <w:autoSpaceDN w:val="0"/>
        <w:spacing w:after="0" w:line="240" w:lineRule="auto"/>
        <w:rPr>
          <w:rFonts w:ascii="Cambria" w:hAnsi="Calibri" w:eastAsia="Calibri" w:cs="Calibri"/>
          <w:szCs w:val="20"/>
          <w:lang w:val="en-US"/>
        </w:rPr>
      </w:pPr>
    </w:p>
    <w:p w:rsidRPr="0063761E" w:rsidR="0063761E" w:rsidP="0003336C" w:rsidRDefault="0063761E" w14:paraId="0FA70C68" w14:textId="1C00B42B">
      <w:pPr>
        <w:widowControl w:val="0"/>
        <w:autoSpaceDE w:val="0"/>
        <w:autoSpaceDN w:val="0"/>
        <w:spacing w:after="0" w:line="240" w:lineRule="auto"/>
        <w:outlineLvl w:val="2"/>
        <w:rPr>
          <w:rFonts w:ascii="Calibri" w:hAnsi="Calibri" w:eastAsia="Times New Roman" w:cs="Times New Roman"/>
          <w:b/>
          <w:bCs/>
          <w:color w:val="365F92"/>
          <w:sz w:val="32"/>
          <w:szCs w:val="32"/>
        </w:rPr>
      </w:pPr>
      <w:r w:rsidRPr="0063761E">
        <w:rPr>
          <w:rFonts w:ascii="Calibri" w:hAnsi="Calibri" w:eastAsia="Times New Roman" w:cs="Times New Roman"/>
          <w:b/>
          <w:bCs/>
          <w:color w:val="365F92"/>
          <w:sz w:val="32"/>
          <w:szCs w:val="32"/>
        </w:rPr>
        <w:t xml:space="preserve">Challenges </w:t>
      </w:r>
    </w:p>
    <w:p w:rsidRPr="0063761E" w:rsidR="0063761E" w:rsidP="0003336C" w:rsidRDefault="0063761E" w14:paraId="54731CA9" w14:textId="77777777">
      <w:pPr>
        <w:widowControl w:val="0"/>
        <w:autoSpaceDE w:val="0"/>
        <w:autoSpaceDN w:val="0"/>
        <w:spacing w:after="0" w:line="240" w:lineRule="auto"/>
        <w:outlineLvl w:val="2"/>
        <w:rPr>
          <w:rFonts w:ascii="Arial" w:hAnsi="Arial" w:eastAsia="Times New Roman" w:cs="Arial"/>
          <w:lang w:val="en-US" w:eastAsia="en-CA"/>
        </w:rPr>
      </w:pPr>
      <w:r w:rsidRPr="0063761E">
        <w:rPr>
          <w:rFonts w:ascii="Arial" w:hAnsi="Arial" w:eastAsia="Times New Roman" w:cs="Arial"/>
          <w:lang w:val="en-US" w:eastAsia="en-CA"/>
        </w:rPr>
        <w:t xml:space="preserve">COVID posed the biggest challenge. First, adapting to work remotely at the onset of this project created challenges around timelines. Additionally, </w:t>
      </w:r>
      <w:proofErr w:type="gramStart"/>
      <w:r w:rsidRPr="0063761E">
        <w:rPr>
          <w:rFonts w:ascii="Arial" w:hAnsi="Arial" w:eastAsia="Times New Roman" w:cs="Arial"/>
          <w:lang w:val="en-US" w:eastAsia="en-CA"/>
        </w:rPr>
        <w:t>academic</w:t>
      </w:r>
      <w:proofErr w:type="gramEnd"/>
      <w:r w:rsidRPr="0063761E">
        <w:rPr>
          <w:rFonts w:ascii="Arial" w:hAnsi="Arial" w:eastAsia="Times New Roman" w:cs="Arial"/>
          <w:lang w:val="en-US" w:eastAsia="en-CA"/>
        </w:rPr>
        <w:t xml:space="preserve"> and administrative leaders were dealing with COVID related priorities that delayed most of the project decision making and approval processes.</w:t>
      </w:r>
    </w:p>
    <w:p w:rsidRPr="0063761E" w:rsidR="0063761E" w:rsidP="0003336C" w:rsidRDefault="0063761E" w14:paraId="5F1F5543" w14:textId="77777777">
      <w:pPr>
        <w:widowControl w:val="0"/>
        <w:autoSpaceDE w:val="0"/>
        <w:autoSpaceDN w:val="0"/>
        <w:spacing w:after="0" w:line="240" w:lineRule="auto"/>
        <w:rPr>
          <w:rFonts w:ascii="Cambria" w:hAnsi="Calibri" w:eastAsia="Calibri" w:cs="Calibri"/>
          <w:szCs w:val="20"/>
          <w:lang w:val="en-US"/>
        </w:rPr>
      </w:pPr>
    </w:p>
    <w:p w:rsidRPr="0063761E" w:rsidR="0063761E" w:rsidP="0003336C" w:rsidRDefault="0063761E" w14:paraId="6C06B620" w14:textId="2B5F69D8">
      <w:pPr>
        <w:widowControl w:val="0"/>
        <w:autoSpaceDE w:val="0"/>
        <w:autoSpaceDN w:val="0"/>
        <w:spacing w:after="0" w:line="240" w:lineRule="auto"/>
        <w:outlineLvl w:val="2"/>
        <w:rPr>
          <w:rFonts w:ascii="Calibri" w:hAnsi="Calibri" w:eastAsia="Times New Roman" w:cs="Times New Roman"/>
          <w:b/>
          <w:bCs/>
          <w:color w:val="365F92"/>
          <w:sz w:val="32"/>
          <w:szCs w:val="32"/>
        </w:rPr>
      </w:pPr>
      <w:proofErr w:type="spellStart"/>
      <w:r w:rsidRPr="0063761E">
        <w:rPr>
          <w:rFonts w:ascii="Calibri" w:hAnsi="Calibri" w:eastAsia="Times New Roman" w:cs="Times New Roman"/>
          <w:b/>
          <w:bCs/>
          <w:color w:val="365F92"/>
          <w:sz w:val="32"/>
          <w:szCs w:val="32"/>
        </w:rPr>
        <w:t>Student</w:t>
      </w:r>
      <w:proofErr w:type="spellEnd"/>
      <w:r w:rsidRPr="0063761E">
        <w:rPr>
          <w:rFonts w:ascii="Calibri" w:hAnsi="Calibri" w:eastAsia="Times New Roman" w:cs="Times New Roman"/>
          <w:b/>
          <w:bCs/>
          <w:color w:val="365F92"/>
          <w:sz w:val="32"/>
          <w:szCs w:val="32"/>
        </w:rPr>
        <w:t xml:space="preserve"> </w:t>
      </w:r>
      <w:proofErr w:type="spellStart"/>
      <w:r w:rsidRPr="0063761E">
        <w:rPr>
          <w:rFonts w:ascii="Calibri" w:hAnsi="Calibri" w:eastAsia="Times New Roman" w:cs="Times New Roman"/>
          <w:b/>
          <w:bCs/>
          <w:color w:val="365F92"/>
          <w:sz w:val="32"/>
          <w:szCs w:val="32"/>
        </w:rPr>
        <w:t>Outcomes</w:t>
      </w:r>
      <w:proofErr w:type="spellEnd"/>
    </w:p>
    <w:p w:rsidR="0063761E" w:rsidP="0003336C" w:rsidRDefault="0063761E" w14:paraId="6AD2427D" w14:textId="46CF8245">
      <w:pPr>
        <w:widowControl w:val="0"/>
        <w:autoSpaceDE w:val="0"/>
        <w:autoSpaceDN w:val="0"/>
        <w:spacing w:after="0" w:line="240" w:lineRule="auto"/>
        <w:ind w:right="121"/>
        <w:rPr>
          <w:rFonts w:ascii="Arial" w:hAnsi="Arial" w:eastAsia="Times New Roman" w:cs="Arial"/>
          <w:lang w:val="en-US" w:eastAsia="en-CA"/>
        </w:rPr>
      </w:pPr>
      <w:r w:rsidRPr="0063761E">
        <w:rPr>
          <w:rFonts w:ascii="Arial" w:hAnsi="Arial" w:eastAsia="Times New Roman" w:cs="Arial"/>
          <w:lang w:val="en-US" w:eastAsia="en-CA"/>
        </w:rPr>
        <w:t xml:space="preserve">Students will benefit from increased opportunities for credit transfer. A wider range of eligible </w:t>
      </w:r>
      <w:proofErr w:type="spellStart"/>
      <w:r w:rsidRPr="0063761E">
        <w:rPr>
          <w:rFonts w:ascii="Arial" w:hAnsi="Arial" w:eastAsia="Times New Roman" w:cs="Arial"/>
          <w:lang w:val="en-US" w:eastAsia="en-CA"/>
        </w:rPr>
        <w:t>post secondary</w:t>
      </w:r>
      <w:proofErr w:type="spellEnd"/>
      <w:r w:rsidRPr="0063761E">
        <w:rPr>
          <w:rFonts w:ascii="Arial" w:hAnsi="Arial" w:eastAsia="Times New Roman" w:cs="Arial"/>
          <w:lang w:val="en-US" w:eastAsia="en-CA"/>
        </w:rPr>
        <w:t xml:space="preserve"> courses will be considered for credit, counting towards the open elective requirements. This will result in students saving time and money by avoiding enrollment in unnecessary courses to meet graduation conditions. For example, recognition of 5 one-term credits would yield a semester of time and financial savings.</w:t>
      </w:r>
    </w:p>
    <w:p w:rsidRPr="0063761E" w:rsidR="007334F5" w:rsidP="0003336C" w:rsidRDefault="007334F5" w14:paraId="21C563F0" w14:textId="77777777">
      <w:pPr>
        <w:widowControl w:val="0"/>
        <w:autoSpaceDE w:val="0"/>
        <w:autoSpaceDN w:val="0"/>
        <w:spacing w:after="0" w:line="240" w:lineRule="auto"/>
        <w:ind w:right="121"/>
        <w:rPr>
          <w:rFonts w:ascii="Arial" w:hAnsi="Arial" w:eastAsia="Times New Roman" w:cs="Arial"/>
          <w:lang w:val="en-US" w:eastAsia="en-CA"/>
        </w:rPr>
      </w:pPr>
    </w:p>
    <w:p w:rsidR="007334F5" w:rsidP="0003336C" w:rsidRDefault="0063761E" w14:paraId="602BFF7C" w14:textId="77777777">
      <w:pPr>
        <w:widowControl w:val="0"/>
        <w:autoSpaceDE w:val="0"/>
        <w:autoSpaceDN w:val="0"/>
        <w:spacing w:after="0" w:line="240" w:lineRule="auto"/>
        <w:ind w:right="109"/>
        <w:rPr>
          <w:rFonts w:ascii="Arial" w:hAnsi="Arial" w:eastAsia="Times New Roman" w:cs="Arial"/>
          <w:lang w:val="en-US" w:eastAsia="en-CA"/>
        </w:rPr>
      </w:pPr>
      <w:r w:rsidRPr="0063761E">
        <w:rPr>
          <w:rFonts w:ascii="Arial" w:hAnsi="Arial" w:eastAsia="Times New Roman" w:cs="Arial"/>
          <w:lang w:val="en-US" w:eastAsia="en-CA"/>
        </w:rPr>
        <w:t>An updated transfer credit policy, with clearly outlined procedures, will make communicating transfer credit related information easier, resulting in increased student engagement.</w:t>
      </w:r>
    </w:p>
    <w:p w:rsidR="007334F5" w:rsidP="0003336C" w:rsidRDefault="007334F5" w14:paraId="626DB896" w14:textId="77777777">
      <w:pPr>
        <w:widowControl w:val="0"/>
        <w:autoSpaceDE w:val="0"/>
        <w:autoSpaceDN w:val="0"/>
        <w:spacing w:after="0" w:line="240" w:lineRule="auto"/>
        <w:ind w:right="109"/>
        <w:rPr>
          <w:rFonts w:ascii="Arial" w:hAnsi="Arial" w:eastAsia="Times New Roman" w:cs="Arial"/>
          <w:lang w:val="en-US" w:eastAsia="en-CA"/>
        </w:rPr>
      </w:pPr>
    </w:p>
    <w:p w:rsidRPr="0063761E" w:rsidR="0063761E" w:rsidP="0003336C" w:rsidRDefault="0063761E" w14:paraId="31678A08" w14:textId="12F52A8A">
      <w:pPr>
        <w:widowControl w:val="0"/>
        <w:autoSpaceDE w:val="0"/>
        <w:autoSpaceDN w:val="0"/>
        <w:spacing w:after="0" w:line="240" w:lineRule="auto"/>
        <w:ind w:right="109"/>
        <w:rPr>
          <w:rFonts w:ascii="Arial" w:hAnsi="Arial" w:eastAsia="Times New Roman" w:cs="Arial"/>
          <w:lang w:val="en-US" w:eastAsia="en-CA"/>
        </w:rPr>
      </w:pPr>
      <w:r w:rsidRPr="0063761E">
        <w:rPr>
          <w:rFonts w:ascii="Arial" w:hAnsi="Arial" w:eastAsia="Times New Roman" w:cs="Arial"/>
          <w:lang w:val="en-US" w:eastAsia="en-CA"/>
        </w:rPr>
        <w:t>Faculty assessment guidelines will reduce ambiguity and the need to consult various stakeholders for certain transfer credit decisions. This will save time in the assessment of course equivalencies, resulting in students receiving their transfer credit decisions sooner.</w:t>
      </w:r>
    </w:p>
    <w:p w:rsidRPr="0063761E" w:rsidR="0063761E" w:rsidP="0003336C" w:rsidRDefault="0063761E" w14:paraId="6C272F58" w14:textId="77777777">
      <w:pPr>
        <w:widowControl w:val="0"/>
        <w:autoSpaceDE w:val="0"/>
        <w:autoSpaceDN w:val="0"/>
        <w:spacing w:after="0" w:line="240" w:lineRule="auto"/>
        <w:rPr>
          <w:rFonts w:ascii="Cambria" w:hAnsi="Calibri" w:eastAsia="Calibri" w:cs="Calibri"/>
          <w:szCs w:val="20"/>
          <w:lang w:val="en-US"/>
        </w:rPr>
      </w:pPr>
    </w:p>
    <w:p w:rsidRPr="0063761E" w:rsidR="0063761E" w:rsidP="0003336C" w:rsidRDefault="0063761E" w14:paraId="418A45EC" w14:textId="074FB76B">
      <w:pPr>
        <w:widowControl w:val="0"/>
        <w:autoSpaceDE w:val="0"/>
        <w:autoSpaceDN w:val="0"/>
        <w:spacing w:after="0" w:line="240" w:lineRule="auto"/>
        <w:outlineLvl w:val="2"/>
        <w:rPr>
          <w:rFonts w:ascii="Calibri" w:hAnsi="Calibri" w:eastAsia="Times New Roman" w:cs="Times New Roman"/>
          <w:b/>
          <w:bCs/>
          <w:color w:val="365F92"/>
          <w:sz w:val="32"/>
          <w:szCs w:val="32"/>
        </w:rPr>
      </w:pPr>
      <w:proofErr w:type="spellStart"/>
      <w:r w:rsidRPr="0063761E">
        <w:rPr>
          <w:rFonts w:ascii="Calibri" w:hAnsi="Calibri" w:eastAsia="Times New Roman" w:cs="Times New Roman"/>
          <w:b/>
          <w:bCs/>
          <w:color w:val="365F92"/>
          <w:sz w:val="32"/>
          <w:szCs w:val="32"/>
        </w:rPr>
        <w:t>Institutional</w:t>
      </w:r>
      <w:proofErr w:type="spellEnd"/>
      <w:r w:rsidRPr="0063761E">
        <w:rPr>
          <w:rFonts w:ascii="Calibri" w:hAnsi="Calibri" w:eastAsia="Times New Roman" w:cs="Times New Roman"/>
          <w:b/>
          <w:bCs/>
          <w:color w:val="365F92"/>
          <w:sz w:val="32"/>
          <w:szCs w:val="32"/>
        </w:rPr>
        <w:t xml:space="preserve"> </w:t>
      </w:r>
      <w:proofErr w:type="spellStart"/>
      <w:r w:rsidRPr="0063761E">
        <w:rPr>
          <w:rFonts w:ascii="Calibri" w:hAnsi="Calibri" w:eastAsia="Times New Roman" w:cs="Times New Roman"/>
          <w:b/>
          <w:bCs/>
          <w:color w:val="365F92"/>
          <w:sz w:val="32"/>
          <w:szCs w:val="32"/>
        </w:rPr>
        <w:t>Outcomes</w:t>
      </w:r>
      <w:proofErr w:type="spellEnd"/>
    </w:p>
    <w:p w:rsidRPr="0063761E" w:rsidR="0063761E" w:rsidP="0003336C" w:rsidRDefault="0063761E" w14:paraId="1ABFB18B" w14:textId="77777777">
      <w:pPr>
        <w:widowControl w:val="0"/>
        <w:autoSpaceDE w:val="0"/>
        <w:autoSpaceDN w:val="0"/>
        <w:spacing w:after="0" w:line="240" w:lineRule="auto"/>
        <w:ind w:right="417"/>
        <w:rPr>
          <w:rFonts w:ascii="Arial" w:hAnsi="Arial" w:eastAsia="Times New Roman" w:cs="Arial"/>
          <w:lang w:val="en-US" w:eastAsia="en-CA"/>
        </w:rPr>
      </w:pPr>
      <w:r w:rsidRPr="0063761E">
        <w:rPr>
          <w:rFonts w:ascii="Arial" w:hAnsi="Arial" w:eastAsia="Times New Roman" w:cs="Arial"/>
          <w:lang w:val="en-US" w:eastAsia="en-CA"/>
        </w:rPr>
        <w:t>Recognizing all incoming degree level courses for transfer credits will further solidify Ryerson as a desired destination among students with prior post-secondary education.</w:t>
      </w:r>
    </w:p>
    <w:p w:rsidR="00997D7E" w:rsidP="0003336C" w:rsidRDefault="00997D7E" w14:paraId="40D998E7" w14:textId="77777777">
      <w:pPr>
        <w:widowControl w:val="0"/>
        <w:autoSpaceDE w:val="0"/>
        <w:autoSpaceDN w:val="0"/>
        <w:spacing w:after="0" w:line="240" w:lineRule="auto"/>
        <w:outlineLvl w:val="2"/>
        <w:rPr>
          <w:rFonts w:ascii="Cambria" w:hAnsi="Calibri" w:eastAsia="Calibri" w:cs="Calibri"/>
          <w:szCs w:val="20"/>
          <w:lang w:val="en-US"/>
        </w:rPr>
      </w:pPr>
    </w:p>
    <w:p w:rsidRPr="0063761E" w:rsidR="0063761E" w:rsidP="0003336C" w:rsidRDefault="0063761E" w14:paraId="31F15848" w14:textId="3D4CA819">
      <w:pPr>
        <w:widowControl w:val="0"/>
        <w:autoSpaceDE w:val="0"/>
        <w:autoSpaceDN w:val="0"/>
        <w:spacing w:after="0" w:line="240" w:lineRule="auto"/>
        <w:outlineLvl w:val="2"/>
        <w:rPr>
          <w:rFonts w:ascii="Calibri" w:hAnsi="Calibri" w:eastAsia="Times New Roman" w:cs="Times New Roman"/>
          <w:b/>
          <w:bCs/>
          <w:color w:val="365F92"/>
          <w:sz w:val="32"/>
          <w:szCs w:val="32"/>
        </w:rPr>
      </w:pPr>
      <w:proofErr w:type="spellStart"/>
      <w:r w:rsidRPr="0063761E">
        <w:rPr>
          <w:rFonts w:ascii="Calibri" w:hAnsi="Calibri" w:eastAsia="Times New Roman" w:cs="Times New Roman"/>
          <w:b/>
          <w:bCs/>
          <w:color w:val="365F92"/>
          <w:sz w:val="32"/>
          <w:szCs w:val="32"/>
        </w:rPr>
        <w:t>Sector</w:t>
      </w:r>
      <w:proofErr w:type="spellEnd"/>
      <w:r w:rsidRPr="0063761E">
        <w:rPr>
          <w:rFonts w:ascii="Calibri" w:hAnsi="Calibri" w:eastAsia="Times New Roman" w:cs="Times New Roman"/>
          <w:b/>
          <w:bCs/>
          <w:color w:val="365F92"/>
          <w:sz w:val="32"/>
          <w:szCs w:val="32"/>
        </w:rPr>
        <w:t xml:space="preserve"> or System Implications</w:t>
      </w:r>
    </w:p>
    <w:p w:rsidRPr="0063761E" w:rsidR="0063761E" w:rsidP="0003336C" w:rsidRDefault="0063761E" w14:paraId="2844774E" w14:textId="77777777">
      <w:pPr>
        <w:widowControl w:val="0"/>
        <w:autoSpaceDE w:val="0"/>
        <w:autoSpaceDN w:val="0"/>
        <w:spacing w:after="0" w:line="240" w:lineRule="auto"/>
        <w:ind w:right="417"/>
        <w:rPr>
          <w:rFonts w:ascii="Arial" w:hAnsi="Arial" w:eastAsia="Times New Roman" w:cs="Arial"/>
          <w:lang w:val="en-US" w:eastAsia="en-CA"/>
        </w:rPr>
      </w:pPr>
      <w:r w:rsidRPr="0063761E">
        <w:rPr>
          <w:rFonts w:ascii="Arial" w:hAnsi="Arial" w:eastAsia="Times New Roman" w:cs="Arial"/>
          <w:lang w:val="en-US" w:eastAsia="en-CA"/>
        </w:rPr>
        <w:t xml:space="preserve">Certain programs may allow for higher flexibility for credit transfer due to curriculum structure - </w:t>
      </w:r>
      <w:proofErr w:type="gramStart"/>
      <w:r w:rsidRPr="0063761E">
        <w:rPr>
          <w:rFonts w:ascii="Arial" w:hAnsi="Arial" w:eastAsia="Times New Roman" w:cs="Arial"/>
          <w:lang w:val="en-US" w:eastAsia="en-CA"/>
        </w:rPr>
        <w:t>i.e.</w:t>
      </w:r>
      <w:proofErr w:type="gramEnd"/>
      <w:r w:rsidRPr="0063761E">
        <w:rPr>
          <w:rFonts w:ascii="Arial" w:hAnsi="Arial" w:eastAsia="Times New Roman" w:cs="Arial"/>
          <w:lang w:val="en-US" w:eastAsia="en-CA"/>
        </w:rPr>
        <w:t xml:space="preserve"> a program that requires the completion of a broad range of elective courses. Transferring to a like-for-like program would also offer a greater opportunity for credit transfer. These programs should be targeted when working towards a more seamless and student-centered transfer system.</w:t>
      </w:r>
    </w:p>
    <w:p w:rsidRPr="0063761E" w:rsidR="0063761E" w:rsidP="0003336C" w:rsidRDefault="0063761E" w14:paraId="65A1A122" w14:textId="77777777">
      <w:pPr>
        <w:widowControl w:val="0"/>
        <w:autoSpaceDE w:val="0"/>
        <w:autoSpaceDN w:val="0"/>
        <w:spacing w:after="0" w:line="240" w:lineRule="auto"/>
        <w:rPr>
          <w:rFonts w:ascii="Cambria" w:hAnsi="Calibri" w:eastAsia="Calibri" w:cs="Calibri"/>
          <w:szCs w:val="20"/>
          <w:lang w:val="en-US"/>
        </w:rPr>
      </w:pPr>
    </w:p>
    <w:p w:rsidRPr="0063761E" w:rsidR="0063761E" w:rsidP="0003336C" w:rsidRDefault="0063761E" w14:paraId="635CB7C8" w14:textId="4D8A1D72">
      <w:pPr>
        <w:widowControl w:val="0"/>
        <w:autoSpaceDE w:val="0"/>
        <w:autoSpaceDN w:val="0"/>
        <w:spacing w:after="0" w:line="240" w:lineRule="auto"/>
        <w:outlineLvl w:val="2"/>
        <w:rPr>
          <w:rFonts w:ascii="Calibri" w:hAnsi="Calibri" w:eastAsia="Times New Roman" w:cs="Times New Roman"/>
          <w:b/>
          <w:bCs/>
          <w:color w:val="365F92"/>
          <w:sz w:val="32"/>
          <w:szCs w:val="32"/>
        </w:rPr>
      </w:pPr>
      <w:r w:rsidRPr="0063761E">
        <w:rPr>
          <w:rFonts w:ascii="Calibri" w:hAnsi="Calibri" w:eastAsia="Times New Roman" w:cs="Times New Roman"/>
          <w:b/>
          <w:bCs/>
          <w:color w:val="365F92"/>
          <w:sz w:val="32"/>
          <w:szCs w:val="32"/>
        </w:rPr>
        <w:t>Tools and Resources</w:t>
      </w:r>
    </w:p>
    <w:p w:rsidRPr="0063761E" w:rsidR="0063761E" w:rsidP="0003336C" w:rsidRDefault="0063761E" w14:paraId="06F0FA06" w14:textId="77777777">
      <w:pPr>
        <w:widowControl w:val="0"/>
        <w:autoSpaceDE w:val="0"/>
        <w:autoSpaceDN w:val="0"/>
        <w:spacing w:after="0" w:line="240" w:lineRule="auto"/>
        <w:rPr>
          <w:rFonts w:ascii="Arial" w:hAnsi="Arial" w:eastAsia="Times New Roman" w:cs="Arial"/>
          <w:lang w:val="en-US" w:eastAsia="en-CA"/>
        </w:rPr>
      </w:pPr>
      <w:r w:rsidRPr="5D7F9FFF" w:rsidR="0063761E">
        <w:rPr>
          <w:rFonts w:ascii="Arial" w:hAnsi="Arial" w:eastAsia="Times New Roman" w:cs="Arial"/>
          <w:lang w:val="en-US" w:eastAsia="en-CA"/>
        </w:rPr>
        <w:t>Procedures and guidelines are currently under review by academic and administrative leadership.</w:t>
      </w:r>
    </w:p>
    <w:p w:rsidR="5D7F9FFF" w:rsidP="5D7F9FFF" w:rsidRDefault="5D7F9FFF" w14:paraId="672E174F" w14:textId="10DAED2A">
      <w:pPr>
        <w:pStyle w:val="Normal"/>
        <w:widowControl w:val="0"/>
        <w:spacing w:after="0" w:line="240" w:lineRule="auto"/>
        <w:rPr>
          <w:rFonts w:ascii="Arial" w:hAnsi="Arial" w:eastAsia="Times New Roman" w:cs="Arial"/>
          <w:lang w:val="en-US" w:eastAsia="en-CA"/>
        </w:rPr>
      </w:pPr>
    </w:p>
    <w:p w:rsidR="007014B5" w:rsidRDefault="007014B5" w14:paraId="02952DE5" w14:textId="77777777">
      <w:r>
        <w:rPr>
          <w:noProof/>
        </w:rPr>
        <w:lastRenderedPageBreak/>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00B" w:rsidP="007014B5" w:rsidRDefault="000A200B" w14:paraId="75A0F4E6" w14:textId="77777777">
      <w:pPr>
        <w:spacing w:after="0" w:line="240" w:lineRule="auto"/>
      </w:pPr>
      <w:r>
        <w:separator/>
      </w:r>
    </w:p>
  </w:endnote>
  <w:endnote w:type="continuationSeparator" w:id="0">
    <w:p w:rsidR="000A200B" w:rsidP="007014B5" w:rsidRDefault="000A200B" w14:paraId="43A107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00B" w:rsidP="007014B5" w:rsidRDefault="000A200B" w14:paraId="107CF028" w14:textId="77777777">
      <w:pPr>
        <w:spacing w:after="0" w:line="240" w:lineRule="auto"/>
      </w:pPr>
      <w:r>
        <w:separator/>
      </w:r>
    </w:p>
  </w:footnote>
  <w:footnote w:type="continuationSeparator" w:id="0">
    <w:p w:rsidR="000A200B" w:rsidP="007014B5" w:rsidRDefault="000A200B" w14:paraId="7680B8E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93B0B"/>
    <w:multiLevelType w:val="hybridMultilevel"/>
    <w:tmpl w:val="9C526C3A"/>
    <w:lvl w:ilvl="0" w:tplc="5C9C1F7E">
      <w:start w:val="1"/>
      <w:numFmt w:val="decimal"/>
      <w:lvlText w:val="%1."/>
      <w:lvlJc w:val="left"/>
      <w:pPr>
        <w:ind w:left="140" w:hanging="196"/>
        <w:jc w:val="left"/>
      </w:pPr>
      <w:rPr>
        <w:rFonts w:hint="default" w:ascii="Arial" w:hAnsi="Arial" w:eastAsia="Cambria" w:cs="Arial"/>
        <w:b w:val="0"/>
        <w:bCs w:val="0"/>
        <w:i w:val="0"/>
        <w:iCs w:val="0"/>
        <w:w w:val="100"/>
        <w:sz w:val="22"/>
        <w:szCs w:val="22"/>
        <w:lang w:val="en-US" w:eastAsia="en-US" w:bidi="ar-SA"/>
      </w:rPr>
    </w:lvl>
    <w:lvl w:ilvl="1" w:tplc="108082EC">
      <w:numFmt w:val="bullet"/>
      <w:lvlText w:val="•"/>
      <w:lvlJc w:val="left"/>
      <w:pPr>
        <w:ind w:left="1090" w:hanging="196"/>
      </w:pPr>
      <w:rPr>
        <w:rFonts w:hint="default"/>
        <w:lang w:val="en-US" w:eastAsia="en-US" w:bidi="ar-SA"/>
      </w:rPr>
    </w:lvl>
    <w:lvl w:ilvl="2" w:tplc="3746C2B2">
      <w:numFmt w:val="bullet"/>
      <w:lvlText w:val="•"/>
      <w:lvlJc w:val="left"/>
      <w:pPr>
        <w:ind w:left="2040" w:hanging="196"/>
      </w:pPr>
      <w:rPr>
        <w:rFonts w:hint="default"/>
        <w:lang w:val="en-US" w:eastAsia="en-US" w:bidi="ar-SA"/>
      </w:rPr>
    </w:lvl>
    <w:lvl w:ilvl="3" w:tplc="C65A05F6">
      <w:numFmt w:val="bullet"/>
      <w:lvlText w:val="•"/>
      <w:lvlJc w:val="left"/>
      <w:pPr>
        <w:ind w:left="2990" w:hanging="196"/>
      </w:pPr>
      <w:rPr>
        <w:rFonts w:hint="default"/>
        <w:lang w:val="en-US" w:eastAsia="en-US" w:bidi="ar-SA"/>
      </w:rPr>
    </w:lvl>
    <w:lvl w:ilvl="4" w:tplc="0BA05142">
      <w:numFmt w:val="bullet"/>
      <w:lvlText w:val="•"/>
      <w:lvlJc w:val="left"/>
      <w:pPr>
        <w:ind w:left="3940" w:hanging="196"/>
      </w:pPr>
      <w:rPr>
        <w:rFonts w:hint="default"/>
        <w:lang w:val="en-US" w:eastAsia="en-US" w:bidi="ar-SA"/>
      </w:rPr>
    </w:lvl>
    <w:lvl w:ilvl="5" w:tplc="CCCAE9DC">
      <w:numFmt w:val="bullet"/>
      <w:lvlText w:val="•"/>
      <w:lvlJc w:val="left"/>
      <w:pPr>
        <w:ind w:left="4890" w:hanging="196"/>
      </w:pPr>
      <w:rPr>
        <w:rFonts w:hint="default"/>
        <w:lang w:val="en-US" w:eastAsia="en-US" w:bidi="ar-SA"/>
      </w:rPr>
    </w:lvl>
    <w:lvl w:ilvl="6" w:tplc="43BCD5C8">
      <w:numFmt w:val="bullet"/>
      <w:lvlText w:val="•"/>
      <w:lvlJc w:val="left"/>
      <w:pPr>
        <w:ind w:left="5840" w:hanging="196"/>
      </w:pPr>
      <w:rPr>
        <w:rFonts w:hint="default"/>
        <w:lang w:val="en-US" w:eastAsia="en-US" w:bidi="ar-SA"/>
      </w:rPr>
    </w:lvl>
    <w:lvl w:ilvl="7" w:tplc="0F86F34C">
      <w:numFmt w:val="bullet"/>
      <w:lvlText w:val="•"/>
      <w:lvlJc w:val="left"/>
      <w:pPr>
        <w:ind w:left="6790" w:hanging="196"/>
      </w:pPr>
      <w:rPr>
        <w:rFonts w:hint="default"/>
        <w:lang w:val="en-US" w:eastAsia="en-US" w:bidi="ar-SA"/>
      </w:rPr>
    </w:lvl>
    <w:lvl w:ilvl="8" w:tplc="5C00DD48">
      <w:numFmt w:val="bullet"/>
      <w:lvlText w:val="•"/>
      <w:lvlJc w:val="left"/>
      <w:pPr>
        <w:ind w:left="7740" w:hanging="196"/>
      </w:pPr>
      <w:rPr>
        <w:rFonts w:hint="default"/>
        <w:lang w:val="en-US" w:eastAsia="en-US" w:bidi="ar-SA"/>
      </w:rPr>
    </w:lvl>
  </w:abstractNum>
  <w:num w:numId="1" w16cid:durableId="56310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03336C"/>
    <w:rsid w:val="000A200B"/>
    <w:rsid w:val="001B3CF1"/>
    <w:rsid w:val="001C3DB1"/>
    <w:rsid w:val="00231BC1"/>
    <w:rsid w:val="002616C6"/>
    <w:rsid w:val="002E3098"/>
    <w:rsid w:val="003D042C"/>
    <w:rsid w:val="00540A60"/>
    <w:rsid w:val="00552B63"/>
    <w:rsid w:val="0063761E"/>
    <w:rsid w:val="00691B3D"/>
    <w:rsid w:val="00693730"/>
    <w:rsid w:val="007014B5"/>
    <w:rsid w:val="007334F5"/>
    <w:rsid w:val="00997D7E"/>
    <w:rsid w:val="00A71C3C"/>
    <w:rsid w:val="00B65552"/>
    <w:rsid w:val="00D84364"/>
    <w:rsid w:val="00DA7877"/>
    <w:rsid w:val="00FA030B"/>
    <w:rsid w:val="01FF5CB1"/>
    <w:rsid w:val="2BD86E8C"/>
    <w:rsid w:val="42A9F8D6"/>
    <w:rsid w:val="5D7F9FFF"/>
    <w:rsid w:val="628836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3761E"/>
    <w:pPr>
      <w:widowControl w:val="0"/>
      <w:autoSpaceDE w:val="0"/>
      <w:autoSpaceDN w:val="0"/>
      <w:spacing w:before="90" w:after="0" w:line="240" w:lineRule="auto"/>
      <w:ind w:left="140"/>
      <w:outlineLvl w:val="0"/>
    </w:pPr>
    <w:rPr>
      <w:rFonts w:ascii="Calibri" w:hAnsi="Calibri" w:eastAsia="Calibri" w:cs="Calibri"/>
      <w:sz w:val="40"/>
      <w:szCs w:val="40"/>
      <w:lang w:val="en-US"/>
    </w:rPr>
  </w:style>
  <w:style w:type="paragraph" w:styleId="Heading2">
    <w:name w:val="heading 2"/>
    <w:basedOn w:val="Normal"/>
    <w:link w:val="Heading2Char"/>
    <w:uiPriority w:val="9"/>
    <w:unhideWhenUsed/>
    <w:qFormat/>
    <w:rsid w:val="0063761E"/>
    <w:pPr>
      <w:widowControl w:val="0"/>
      <w:autoSpaceDE w:val="0"/>
      <w:autoSpaceDN w:val="0"/>
      <w:spacing w:before="24" w:after="0" w:line="240" w:lineRule="auto"/>
      <w:ind w:left="140"/>
      <w:outlineLvl w:val="1"/>
    </w:pPr>
    <w:rPr>
      <w:rFonts w:ascii="Calibri" w:hAnsi="Calibri" w:eastAsia="Calibri" w:cs="Calibri"/>
      <w:b/>
      <w:bCs/>
      <w:i/>
      <w:iCs/>
      <w:sz w:val="38"/>
      <w:szCs w:val="38"/>
      <w:lang w:val="en-US"/>
    </w:rPr>
  </w:style>
  <w:style w:type="paragraph" w:styleId="Heading3">
    <w:name w:val="heading 3"/>
    <w:basedOn w:val="Normal"/>
    <w:link w:val="Heading3Char"/>
    <w:uiPriority w:val="9"/>
    <w:unhideWhenUsed/>
    <w:qFormat/>
    <w:rsid w:val="0063761E"/>
    <w:pPr>
      <w:widowControl w:val="0"/>
      <w:autoSpaceDE w:val="0"/>
      <w:autoSpaceDN w:val="0"/>
      <w:spacing w:after="0" w:line="240" w:lineRule="auto"/>
      <w:ind w:left="140"/>
      <w:outlineLvl w:val="2"/>
    </w:pPr>
    <w:rPr>
      <w:rFonts w:ascii="Calibri" w:hAnsi="Calibri" w:eastAsia="Calibri" w:cs="Calibri"/>
      <w:b/>
      <w:b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14B5"/>
  </w:style>
  <w:style w:type="character" w:styleId="Heading1Char" w:customStyle="1">
    <w:name w:val="Heading 1 Char"/>
    <w:basedOn w:val="DefaultParagraphFont"/>
    <w:link w:val="Heading1"/>
    <w:uiPriority w:val="9"/>
    <w:rsid w:val="0063761E"/>
    <w:rPr>
      <w:rFonts w:ascii="Calibri" w:hAnsi="Calibri" w:eastAsia="Calibri" w:cs="Calibri"/>
      <w:sz w:val="40"/>
      <w:szCs w:val="40"/>
      <w:lang w:val="en-US"/>
    </w:rPr>
  </w:style>
  <w:style w:type="character" w:styleId="Heading2Char" w:customStyle="1">
    <w:name w:val="Heading 2 Char"/>
    <w:basedOn w:val="DefaultParagraphFont"/>
    <w:link w:val="Heading2"/>
    <w:uiPriority w:val="9"/>
    <w:rsid w:val="0063761E"/>
    <w:rPr>
      <w:rFonts w:ascii="Calibri" w:hAnsi="Calibri" w:eastAsia="Calibri" w:cs="Calibri"/>
      <w:b/>
      <w:bCs/>
      <w:i/>
      <w:iCs/>
      <w:sz w:val="38"/>
      <w:szCs w:val="38"/>
      <w:lang w:val="en-US"/>
    </w:rPr>
  </w:style>
  <w:style w:type="character" w:styleId="Heading3Char" w:customStyle="1">
    <w:name w:val="Heading 3 Char"/>
    <w:basedOn w:val="DefaultParagraphFont"/>
    <w:link w:val="Heading3"/>
    <w:uiPriority w:val="9"/>
    <w:rsid w:val="0063761E"/>
    <w:rPr>
      <w:rFonts w:ascii="Calibri" w:hAnsi="Calibri" w:eastAsia="Calibri" w:cs="Calibri"/>
      <w:b/>
      <w:bCs/>
      <w:sz w:val="28"/>
      <w:szCs w:val="28"/>
      <w:lang w:val="en-US"/>
    </w:rPr>
  </w:style>
  <w:style w:type="numbering" w:styleId="NoList1" w:customStyle="1">
    <w:name w:val="No List1"/>
    <w:next w:val="NoList"/>
    <w:uiPriority w:val="99"/>
    <w:semiHidden/>
    <w:unhideWhenUsed/>
    <w:rsid w:val="0063761E"/>
  </w:style>
  <w:style w:type="paragraph" w:styleId="BodyText">
    <w:name w:val="Body Text"/>
    <w:basedOn w:val="Normal"/>
    <w:link w:val="BodyTextChar"/>
    <w:uiPriority w:val="1"/>
    <w:qFormat/>
    <w:rsid w:val="0063761E"/>
    <w:pPr>
      <w:widowControl w:val="0"/>
      <w:autoSpaceDE w:val="0"/>
      <w:autoSpaceDN w:val="0"/>
      <w:spacing w:after="0" w:line="240" w:lineRule="auto"/>
    </w:pPr>
    <w:rPr>
      <w:rFonts w:ascii="Calibri" w:hAnsi="Calibri" w:eastAsia="Calibri" w:cs="Calibri"/>
      <w:sz w:val="20"/>
      <w:szCs w:val="20"/>
      <w:lang w:val="en-US"/>
    </w:rPr>
  </w:style>
  <w:style w:type="character" w:styleId="BodyTextChar" w:customStyle="1">
    <w:name w:val="Body Text Char"/>
    <w:basedOn w:val="DefaultParagraphFont"/>
    <w:link w:val="BodyText"/>
    <w:uiPriority w:val="1"/>
    <w:rsid w:val="0063761E"/>
    <w:rPr>
      <w:rFonts w:ascii="Calibri" w:hAnsi="Calibri" w:eastAsia="Calibri" w:cs="Calibri"/>
      <w:sz w:val="20"/>
      <w:szCs w:val="20"/>
      <w:lang w:val="en-US"/>
    </w:rPr>
  </w:style>
  <w:style w:type="paragraph" w:styleId="ListParagraph">
    <w:name w:val="List Paragraph"/>
    <w:basedOn w:val="Normal"/>
    <w:uiPriority w:val="1"/>
    <w:qFormat/>
    <w:rsid w:val="0063761E"/>
    <w:pPr>
      <w:widowControl w:val="0"/>
      <w:autoSpaceDE w:val="0"/>
      <w:autoSpaceDN w:val="0"/>
      <w:spacing w:after="0" w:line="240" w:lineRule="auto"/>
      <w:ind w:left="659" w:hanging="196"/>
    </w:pPr>
    <w:rPr>
      <w:rFonts w:ascii="Cambria" w:hAnsi="Cambria" w:eastAsia="Cambria" w:cs="Cambria"/>
      <w:lang w:val="en-US"/>
    </w:rPr>
  </w:style>
  <w:style w:type="paragraph" w:styleId="TableParagraph" w:customStyle="1">
    <w:name w:val="Table Paragraph"/>
    <w:basedOn w:val="Normal"/>
    <w:uiPriority w:val="1"/>
    <w:qFormat/>
    <w:rsid w:val="0063761E"/>
    <w:pPr>
      <w:widowControl w:val="0"/>
      <w:autoSpaceDE w:val="0"/>
      <w:autoSpaceDN w:val="0"/>
      <w:spacing w:after="0" w:line="240" w:lineRule="auto"/>
    </w:pPr>
    <w:rPr>
      <w:rFonts w:ascii="Calibri" w:hAnsi="Calibri"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D7E4CA9F5674B909837CB7FE58DA6"/>
        <w:category>
          <w:name w:val="General"/>
          <w:gallery w:val="placeholder"/>
        </w:category>
        <w:types>
          <w:type w:val="bbPlcHdr"/>
        </w:types>
        <w:behaviors>
          <w:behavior w:val="content"/>
        </w:behaviors>
        <w:guid w:val="{435F9F20-F43C-8E48-930E-3AA0E28CB417}"/>
      </w:docPartPr>
      <w:docPartBody>
        <w:p w:rsidR="003B144E" w:rsidRDefault="002616C6">
          <w:pPr>
            <w:pStyle w:val="6D7D7E4CA9F5674B909837CB7FE58DA6"/>
          </w:pPr>
          <w:r w:rsidRPr="004971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6"/>
    <w:rsid w:val="002616C6"/>
    <w:rsid w:val="003B144E"/>
    <w:rsid w:val="005063E3"/>
    <w:rsid w:val="009A3D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D7E4CA9F5674B909837CB7FE58DA6">
    <w:name w:val="6D7D7E4CA9F5674B909837CB7FE58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Modernizing transfer credit policy, guidelines and procedures at Ryerson</dc:title>
  <dc:subject/>
  <dc:creator>Microsoft Office User</dc:creator>
  <keywords/>
  <dc:description/>
  <lastModifiedBy>Inna Yeranosyan</lastModifiedBy>
  <revision>15</revision>
  <dcterms:created xsi:type="dcterms:W3CDTF">2021-12-15T15:14:00.0000000Z</dcterms:created>
  <dcterms:modified xsi:type="dcterms:W3CDTF">2022-08-22T18:49:18.2586594Z</dcterms:modified>
</coreProperties>
</file>